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parecer-jurídico-avaliação-final-do-caso"/>
    <w:p>
      <w:pPr>
        <w:pStyle w:val="Heading2"/>
      </w:pPr>
      <w:r>
        <w:t xml:space="preserve">Parecer Jurídico – Avaliação Final do Caso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20 de março de 2024</w:t>
      </w:r>
    </w:p>
    <w:p>
      <w:pPr>
        <w:pStyle w:val="BodyText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Empresa de Arrendamento Comercial, Lda., NIF 508 123 456, sede na Av. da República, 45, 1050‑150 Lisboa, representada pelos seus mandatários, Dr. Ana Martins (OA 12345) e Dr. Luís Pereira (OA 67890).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t xml:space="preserve"> </w:t>
      </w:r>
      <w:r>
        <w:t xml:space="preserve">Sr. João da Silva, NIF 245 678 901, residente na Rua da Boavista, 12, 4.º Dto., 1200‑058 Lisboa.</w:t>
      </w:r>
    </w:p>
    <w:p>
      <w:pPr>
        <w:pStyle w:val="BodyText"/>
      </w:pPr>
      <w:r>
        <w:rPr>
          <w:b/>
          <w:bCs/>
        </w:rPr>
        <w:t xml:space="preserve">Juiz competente:</w:t>
      </w:r>
      <w:r>
        <w:t xml:space="preserve"> </w:t>
      </w:r>
      <w:r>
        <w:t xml:space="preserve">Juiz de Direito da Vara Cível de Lisboa.</w:t>
      </w:r>
    </w:p>
    <w:p>
      <w:r>
        <w:pict>
          <v:rect style="width:0;height:1.5pt" o:hralign="center" o:hrstd="t" o:hr="t"/>
        </w:pict>
      </w:r>
    </w:p>
    <w:bookmarkStart w:id="9" w:name="i.-identificação-dos-factos-relevantes"/>
    <w:p>
      <w:pPr>
        <w:pStyle w:val="Heading3"/>
      </w:pPr>
      <w:r>
        <w:t xml:space="preserve">I. Identificação dos 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Contrato de arrendamento</w:t>
            </w:r>
          </w:p>
        </w:tc>
        <w:tc>
          <w:tcPr/>
          <w:p>
            <w:pPr>
              <w:pStyle w:val="Compact"/>
            </w:pPr>
            <w:r>
              <w:t xml:space="preserve">Celebrado em 15 de julho de 2020, com prazo de 5 anos, destinado a exploração de estabelecimento comercial no piso térreo do prédio sito na Av. da República, 45, Lisboa. Renda mensal acordada:</w:t>
            </w:r>
            <w:r>
              <w:t xml:space="preserve"> </w:t>
            </w:r>
            <w:r>
              <w:rPr>
                <w:b/>
                <w:bCs/>
              </w:rPr>
              <w:t xml:space="preserve">€ 5 000,00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Incumprimento de pagamento</w:t>
            </w:r>
          </w:p>
        </w:tc>
        <w:tc>
          <w:tcPr/>
          <w:p>
            <w:pPr>
              <w:pStyle w:val="Compact"/>
            </w:pPr>
            <w:r>
              <w:t xml:space="preserve">O réu deixou de pagar as rendas a partir de 1 de setembro de 2023, acumulando oito meses em dívida (setembro/2023 a abril/2024).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Obras não autorizadas</w:t>
            </w:r>
          </w:p>
        </w:tc>
        <w:tc>
          <w:tcPr/>
          <w:p>
            <w:pPr>
              <w:pStyle w:val="Compact"/>
            </w:pPr>
            <w:r>
              <w:t xml:space="preserve">Entre outubro e dezembro de 2023, o réu realizou obras de remodelação no interior do local sem prévia autorização escrita do senhorio, gerando custos de</w:t>
            </w:r>
            <w:r>
              <w:t xml:space="preserve"> </w:t>
            </w:r>
            <w:r>
              <w:rPr>
                <w:b/>
                <w:bCs/>
              </w:rPr>
              <w:t xml:space="preserve">€ 12 000,00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Notificações</w:t>
            </w:r>
          </w:p>
        </w:tc>
        <w:tc>
          <w:tcPr/>
          <w:p>
            <w:pPr>
              <w:pStyle w:val="Compact"/>
            </w:pPr>
            <w:r>
              <w:t xml:space="preserve">O senhorio enviou duas notificações extrajudiciais (10 e 30 de setembro de 2023) exigindo o pagamento das rendas vencidas e a cessação das obras, ambas sem resposta.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judicial</w:t>
            </w:r>
          </w:p>
        </w:tc>
        <w:tc>
          <w:tcPr/>
          <w:p>
            <w:pPr>
              <w:pStyle w:val="Compact"/>
            </w:pPr>
            <w:r>
              <w:t xml:space="preserve">Ação de despejo com pedido de resolução do contrato, cobrança de rendas em dívida, juros moratórios, indemnização pelos custos das obras e condenação em custas.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ii.-enquadramento-jurídico"/>
    <w:p>
      <w:pPr>
        <w:pStyle w:val="Heading3"/>
      </w:pPr>
      <w:r>
        <w:t xml:space="preserve">II. Enquadramento Jurídico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32"/>
        <w:gridCol w:w="578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Norma</w:t>
            </w:r>
          </w:p>
        </w:tc>
        <w:tc>
          <w:tcPr/>
          <w:p>
            <w:pPr>
              <w:pStyle w:val="Compact"/>
            </w:pPr>
            <w:r>
              <w:t xml:space="preserve">Aplicação ao caso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Artigo 1081.º do Código Civil</w:t>
            </w:r>
          </w:p>
        </w:tc>
        <w:tc>
          <w:tcPr/>
          <w:p>
            <w:pPr>
              <w:pStyle w:val="Compact"/>
            </w:pPr>
            <w:r>
              <w:t xml:space="preserve">Prevê a caducidade do contrato de arrendamento comercial quando o arrendatário deixa de pagar duas rendas consecutivas. O incumprimento de oito rendas ultrapassa amplamente este requisito.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Artigo 1085.º do Código Civil</w:t>
            </w:r>
          </w:p>
        </w:tc>
        <w:tc>
          <w:tcPr/>
          <w:p>
            <w:pPr>
              <w:pStyle w:val="Compact"/>
            </w:pPr>
            <w:r>
              <w:t xml:space="preserve">Autoriza a resolução do contrato por parte do senhorio, mediante notificação prévia, quando o arrendatário não cumpre a obrigação de pagamento.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Artigo 1079.º do Código Civil</w:t>
            </w:r>
          </w:p>
        </w:tc>
        <w:tc>
          <w:tcPr/>
          <w:p>
            <w:pPr>
              <w:pStyle w:val="Compact"/>
            </w:pPr>
            <w:r>
              <w:t xml:space="preserve">Permite a cobrança de juros moratórios à taxa legal (4 % ao ano) a partir da data de vencimento das rendas.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Artigo 483.º do Código de Processo Civil (CPC)</w:t>
            </w:r>
          </w:p>
        </w:tc>
        <w:tc>
          <w:tcPr/>
          <w:p>
            <w:pPr>
              <w:pStyle w:val="Compact"/>
            </w:pPr>
            <w:r>
              <w:t xml:space="preserve">Estabelece a possibilidade de o requerente requerer a execução provisória da ordem de despejo, caso haja risco de dano irreparável.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Artigo 798.º do CPC</w:t>
            </w:r>
          </w:p>
        </w:tc>
        <w:tc>
          <w:tcPr/>
          <w:p>
            <w:pPr>
              <w:pStyle w:val="Compact"/>
            </w:pPr>
            <w:r>
              <w:t xml:space="preserve">Determina que a condenação em custas inclui os honorários dos mandatários, a menos que haja acordo em contrário.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Jurisprudência do Tribunal da Relação de Lisboa (Acórdão 112/23.4T8LSB)</w:t>
            </w:r>
          </w:p>
        </w:tc>
        <w:tc>
          <w:tcPr/>
          <w:p>
            <w:pPr>
              <w:pStyle w:val="Compact"/>
            </w:pPr>
            <w:r>
              <w:t xml:space="preserve">Reafirma que a realização de obras sem autorização constitui violação das obrigações contratuais, sendo o arrendatário responsável pelos custos e pelos danos emergentes.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6" w:name="X5d575e8fbe3cf91f929326b14173ddd503de1c4"/>
    <w:p>
      <w:pPr>
        <w:pStyle w:val="Heading3"/>
      </w:pPr>
      <w:r>
        <w:t xml:space="preserve">III. Análise da Situação e Cálculo dos Valores Reclamados</w:t>
      </w:r>
    </w:p>
    <w:bookmarkStart w:id="11" w:name="rendas-em-dívida"/>
    <w:p>
      <w:pPr>
        <w:pStyle w:val="Heading4"/>
      </w:pPr>
      <w:r>
        <w:t xml:space="preserve">1. Rendas em dívida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Mês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Setembro/2023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Outubro/2023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Novembro/2023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Dezembro/2023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Janeiro/2024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Fevereiro/2024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Março/2024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Abril/2024</w:t>
            </w:r>
          </w:p>
        </w:tc>
        <w:tc>
          <w:tcPr/>
          <w:p>
            <w:pPr>
              <w:pStyle w:val="Compact"/>
            </w:pPr>
            <w:r>
              <w:t xml:space="preserve">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€ 40 000,00</w:t>
            </w:r>
          </w:p>
        </w:tc>
      </w:tr>
    </w:tbl>
    <w:bookmarkEnd w:id="11"/>
    <w:bookmarkStart w:id="12" w:name="juros-moratórios-4-a.a."/>
    <w:p>
      <w:pPr>
        <w:pStyle w:val="Heading4"/>
      </w:pPr>
      <w:r>
        <w:t xml:space="preserve">2. Juros moratórios (4 % a.a.)</w:t>
      </w:r>
    </w:p>
    <w:p>
      <w:pPr>
        <w:pStyle w:val="FirstParagraph"/>
      </w:pPr>
      <w:r>
        <w:t xml:space="preserve">Cálculo simplificado:</w:t>
      </w:r>
      <w:r>
        <w:br/>
      </w:r>
      <w:r>
        <w:t xml:space="preserve">[</w:t>
      </w:r>
      <w:r>
        <w:t xml:space="preserve"> </w:t>
      </w:r>
      <w:r>
        <w:t xml:space="preserve"> </w:t>
      </w:r>
      <w:r>
        <w:t xml:space="preserve">= € 40 000,00</w:t>
      </w:r>
      <w:r>
        <w:t xml:space="preserve"> </w:t>
      </w:r>
      <w:r>
        <w:t xml:space="preserve">,04</w:t>
      </w:r>
      <w:r>
        <w:t xml:space="preserve"> </w:t>
      </w:r>
      <w:r>
        <w:t xml:space="preserve"> </w:t>
      </w:r>
      <w:r>
        <w:t xml:space="preserve">= € 1 066,67</w:t>
      </w:r>
      <w:r>
        <w:t xml:space="preserve"> </w:t>
      </w:r>
      <w:r>
        <w:t xml:space="preserve">]</w:t>
      </w:r>
    </w:p>
    <w:p>
      <w:pPr>
        <w:pStyle w:val="BodyText"/>
      </w:pPr>
      <w:r>
        <w:t xml:space="preserve">Arredondado para</w:t>
      </w:r>
      <w:r>
        <w:t xml:space="preserve"> </w:t>
      </w:r>
      <w:r>
        <w:rPr>
          <w:b/>
          <w:bCs/>
        </w:rPr>
        <w:t xml:space="preserve">€ 1 066,66</w:t>
      </w:r>
      <w:r>
        <w:t xml:space="preserve"> </w:t>
      </w:r>
      <w:r>
        <w:t xml:space="preserve">(conforme prática de arredondamento para duas casas decimais).</w:t>
      </w:r>
    </w:p>
    <w:bookmarkEnd w:id="12"/>
    <w:bookmarkStart w:id="13" w:name="indemnização-por-obras-não-autorizadas"/>
    <w:p>
      <w:pPr>
        <w:pStyle w:val="Heading4"/>
      </w:pPr>
      <w:r>
        <w:t xml:space="preserve">3. Indemnização por obras não autorizadas</w:t>
      </w:r>
    </w:p>
    <w:p>
      <w:pPr>
        <w:pStyle w:val="FirstParagraph"/>
      </w:pPr>
      <w:r>
        <w:t xml:space="preserve">Custos comprovados (faturas e recibos):</w:t>
      </w:r>
      <w:r>
        <w:t xml:space="preserve"> </w:t>
      </w:r>
      <w:r>
        <w:rPr>
          <w:b/>
          <w:bCs/>
        </w:rPr>
        <w:t xml:space="preserve">€ 12 000,00</w:t>
      </w:r>
      <w:r>
        <w:t xml:space="preserve">.</w:t>
      </w:r>
    </w:p>
    <w:bookmarkEnd w:id="13"/>
    <w:bookmarkStart w:id="14" w:name="custas-processuais-e-honorários"/>
    <w:p>
      <w:pPr>
        <w:pStyle w:val="Heading4"/>
      </w:pPr>
      <w:r>
        <w:t xml:space="preserve">4. Custas processuais e honorários</w:t>
      </w:r>
    </w:p>
    <w:p>
      <w:pPr>
        <w:pStyle w:val="Compact"/>
        <w:numPr>
          <w:ilvl w:val="0"/>
          <w:numId w:val="1001"/>
        </w:numPr>
      </w:pPr>
      <w:r>
        <w:t xml:space="preserve">Custas judiciais estimadas:</w:t>
      </w:r>
      <w:r>
        <w:t xml:space="preserve"> </w:t>
      </w:r>
      <w:r>
        <w:rPr>
          <w:b/>
          <w:bCs/>
        </w:rPr>
        <w:t xml:space="preserve">€ 500,00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Honorários de mandatários (10 % do valor da dívida principal + juros + indemnização):</w:t>
      </w:r>
      <w:r>
        <w:br/>
      </w:r>
      <w:r>
        <w:t xml:space="preserve">[</w:t>
      </w:r>
      <w:r>
        <w:t xml:space="preserve"> </w:t>
      </w:r>
      <w:r>
        <w:t xml:space="preserve">10%</w:t>
      </w:r>
      <w:r>
        <w:t xml:space="preserve"> </w:t>
      </w:r>
      <w:r>
        <w:t xml:space="preserve">(40 000,00 + 1 066,66 + 12 000,00) = € 5 306,67</w:t>
      </w:r>
      <w:r>
        <w:t xml:space="preserve"> </w:t>
      </w:r>
      <w:r>
        <w:t xml:space="preserve">]</w:t>
      </w:r>
    </w:p>
    <w:bookmarkEnd w:id="14"/>
    <w:bookmarkStart w:id="15" w:name="montante-total-a-requerer"/>
    <w:p>
      <w:pPr>
        <w:pStyle w:val="Heading4"/>
      </w:pPr>
      <w:r>
        <w:t xml:space="preserve">5. Montante total a requerer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Rendas em dívida</w:t>
            </w:r>
          </w:p>
        </w:tc>
        <w:tc>
          <w:tcPr/>
          <w:p>
            <w:pPr>
              <w:pStyle w:val="Compact"/>
            </w:pPr>
            <w:r>
              <w:t xml:space="preserve">40 000,00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</w:t>
            </w:r>
          </w:p>
        </w:tc>
        <w:tc>
          <w:tcPr/>
          <w:p>
            <w:pPr>
              <w:pStyle w:val="Compact"/>
            </w:pPr>
            <w:r>
              <w:t xml:space="preserve">1 066,66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obras</w:t>
            </w:r>
          </w:p>
        </w:tc>
        <w:tc>
          <w:tcPr/>
          <w:p>
            <w:pPr>
              <w:pStyle w:val="Compact"/>
            </w:pPr>
            <w:r>
              <w:t xml:space="preserve">12 000,00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Custas judiciais</w:t>
            </w:r>
          </w:p>
        </w:tc>
        <w:tc>
          <w:tcPr/>
          <w:p>
            <w:pPr>
              <w:pStyle w:val="Compact"/>
            </w:pPr>
            <w:r>
              <w:t xml:space="preserve">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Honorários advocatícios</w:t>
            </w:r>
          </w:p>
        </w:tc>
        <w:tc>
          <w:tcPr/>
          <w:p>
            <w:pPr>
              <w:pStyle w:val="Compact"/>
            </w:pPr>
            <w:r>
              <w:t xml:space="preserve">5 306,67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€ 58 873,33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End w:id="16"/>
    <w:bookmarkStart w:id="17" w:name="iv.-conclusões"/>
    <w:p>
      <w:pPr>
        <w:pStyle w:val="Heading3"/>
      </w:pPr>
      <w:r>
        <w:t xml:space="preserve">IV. Conclusões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Caducidade do contrato</w:t>
      </w:r>
      <w:r>
        <w:t xml:space="preserve"> </w:t>
      </w:r>
      <w:r>
        <w:t xml:space="preserve">– O incumprimento de oito rendas constitui causa suficiente para a caducidade do contrato, nos termos do art.º 1081.º do Código Civil.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Direito à resolução e despejo</w:t>
      </w:r>
      <w:r>
        <w:t xml:space="preserve"> </w:t>
      </w:r>
      <w:r>
        <w:t xml:space="preserve">– O senhorio tem pleno direito de requerer a resolução do contrato e o despejo do réu, bem como a execução provisória da ordem, dada a gravidade da situação e o risco de continuação da ocupação indevida.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Cobrança de rendas, juros e indemnização</w:t>
      </w:r>
      <w:r>
        <w:t xml:space="preserve"> </w:t>
      </w:r>
      <w:r>
        <w:t xml:space="preserve">– Os valores calculados são juridicamente sustentáveis, estando em conformidade com a legislação civil e processual.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Responsabilidade pelas obras</w:t>
      </w:r>
      <w:r>
        <w:t xml:space="preserve"> </w:t>
      </w:r>
      <w:r>
        <w:t xml:space="preserve">– As obras realizadas sem autorização configuram violação das obrigações contratuais e dão ensejo à indemnização integral dos custos suportados pelo senhorio.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Probabilidade de sucesso</w:t>
      </w:r>
      <w:r>
        <w:t xml:space="preserve"> </w:t>
      </w:r>
      <w:r>
        <w:t xml:space="preserve">– A jurisprudência recente do Tribunal da Relação de Lisboa confirma a interpretação adotada, aumentando a probabilidade de decisão favorável ao requerente.</w:t>
      </w:r>
    </w:p>
    <w:p>
      <w:r>
        <w:pict>
          <v:rect style="width:0;height:1.5pt" o:hralign="center" o:hrstd="t" o:hr="t"/>
        </w:pict>
      </w:r>
    </w:p>
    <w:bookmarkEnd w:id="17"/>
    <w:bookmarkStart w:id="18" w:name="v.-recomendações-ao-cliente"/>
    <w:p>
      <w:pPr>
        <w:pStyle w:val="Heading3"/>
      </w:pPr>
      <w:r>
        <w:t xml:space="preserve">V. Recomendações ao Cliente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32"/>
        <w:gridCol w:w="4455"/>
        <w:gridCol w:w="17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Passo</w:t>
            </w:r>
          </w:p>
        </w:tc>
        <w:tc>
          <w:tcPr/>
          <w:p>
            <w:pPr>
              <w:pStyle w:val="Compact"/>
            </w:pPr>
            <w:r>
              <w:t xml:space="preserve">Ação recomendada</w:t>
            </w:r>
          </w:p>
        </w:tc>
        <w:tc>
          <w:tcPr/>
          <w:p>
            <w:pPr>
              <w:pStyle w:val="Compact"/>
            </w:pPr>
            <w:r>
              <w:t xml:space="preserve">Prazo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</w:t>
            </w:r>
          </w:p>
        </w:tc>
        <w:tc>
          <w:tcPr/>
          <w:p>
            <w:pPr>
              <w:pStyle w:val="Compact"/>
            </w:pPr>
            <w:r>
              <w:t xml:space="preserve">Interpor</w:t>
            </w:r>
            <w:r>
              <w:t xml:space="preserve"> </w:t>
            </w:r>
            <w:r>
              <w:rPr>
                <w:b/>
                <w:bCs/>
              </w:rPr>
              <w:t xml:space="preserve">pedido de tutela de urgência</w:t>
            </w:r>
            <w:r>
              <w:t xml:space="preserve"> </w:t>
            </w:r>
            <w:r>
              <w:t xml:space="preserve">para despejo provisório, nos termos do art.º 483.º do CPC, a fim de evitar novo prejuízo.</w:t>
            </w:r>
          </w:p>
        </w:tc>
        <w:tc>
          <w:tcPr/>
          <w:p>
            <w:pPr>
              <w:pStyle w:val="Compact"/>
            </w:pPr>
            <w:r>
              <w:t xml:space="preserve">Imediato (até 5 dias úteis).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</w:t>
            </w:r>
          </w:p>
        </w:tc>
        <w:tc>
          <w:tcPr/>
          <w:p>
            <w:pPr>
              <w:pStyle w:val="Compact"/>
            </w:pPr>
            <w:r>
              <w:t xml:space="preserve">Apresentar</w:t>
            </w:r>
            <w:r>
              <w:t xml:space="preserve"> </w:t>
            </w:r>
            <w:r>
              <w:rPr>
                <w:b/>
                <w:bCs/>
              </w:rPr>
              <w:t xml:space="preserve">cálculo detalhado</w:t>
            </w:r>
            <w:r>
              <w:t xml:space="preserve"> </w:t>
            </w:r>
            <w:r>
              <w:t xml:space="preserve">das rendas em dívida, juros e custos das obras, acompanhados de faturas, recibos e extratos bancários.</w:t>
            </w:r>
          </w:p>
        </w:tc>
        <w:tc>
          <w:tcPr/>
          <w:p>
            <w:pPr>
              <w:pStyle w:val="Compact"/>
            </w:pPr>
            <w:r>
              <w:t xml:space="preserve">Até a audiência de conciliação (prevista para 15 de abril de 2024).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</w:t>
            </w:r>
          </w:p>
        </w:tc>
        <w:tc>
          <w:tcPr/>
          <w:p>
            <w:pPr>
              <w:pStyle w:val="Compact"/>
            </w:pPr>
            <w:r>
              <w:t xml:space="preserve">Solicitar</w:t>
            </w:r>
            <w:r>
              <w:t xml:space="preserve"> </w:t>
            </w:r>
            <w:r>
              <w:rPr>
                <w:b/>
                <w:bCs/>
              </w:rPr>
              <w:t xml:space="preserve">penhora de bens</w:t>
            </w:r>
            <w:r>
              <w:t xml:space="preserve"> </w:t>
            </w:r>
            <w:r>
              <w:t xml:space="preserve">do réu, caso haja resistência ao cumprimento da ordem de despejo, nos termos do art.º 834.º do CPC.</w:t>
            </w:r>
          </w:p>
        </w:tc>
        <w:tc>
          <w:tcPr/>
          <w:p>
            <w:pPr>
              <w:pStyle w:val="Compact"/>
            </w:pPr>
            <w:r>
              <w:t xml:space="preserve">Concomitante à fase de execução.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</w:t>
            </w:r>
          </w:p>
        </w:tc>
        <w:tc>
          <w:tcPr/>
          <w:p>
            <w:pPr>
              <w:pStyle w:val="Compact"/>
            </w:pPr>
            <w:r>
              <w:t xml:space="preserve">Avaliar a possibilidade de</w:t>
            </w:r>
            <w:r>
              <w:t xml:space="preserve"> </w:t>
            </w:r>
            <w:r>
              <w:rPr>
                <w:b/>
                <w:bCs/>
              </w:rPr>
              <w:t xml:space="preserve">acordo extrajudicial</w:t>
            </w:r>
            <w:r>
              <w:t xml:space="preserve"> </w:t>
            </w:r>
            <w:r>
              <w:t xml:space="preserve">para pagamento parcelado das rendas, caso o réu demonstre boa-fé e capacidade financeira, a fim de reduzir custos processuais.</w:t>
            </w:r>
          </w:p>
        </w:tc>
        <w:tc>
          <w:tcPr/>
          <w:p>
            <w:pPr>
              <w:pStyle w:val="Compact"/>
            </w:pPr>
            <w:r>
              <w:t xml:space="preserve">Até 30 de abril de 2024.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</w:t>
            </w:r>
          </w:p>
        </w:tc>
        <w:tc>
          <w:tcPr/>
          <w:p>
            <w:pPr>
              <w:pStyle w:val="Compact"/>
            </w:pPr>
            <w:r>
              <w:t xml:space="preserve">Preparar</w:t>
            </w:r>
            <w:r>
              <w:t xml:space="preserve"> </w:t>
            </w:r>
            <w:r>
              <w:rPr>
                <w:b/>
                <w:bCs/>
              </w:rPr>
              <w:t xml:space="preserve">defesa contra eventual reconvenção</w:t>
            </w:r>
            <w:r>
              <w:t xml:space="preserve"> </w:t>
            </w:r>
            <w:r>
              <w:t xml:space="preserve">do réu, que poderá alegar falhas no imóvel ou questões de força maior.</w:t>
            </w:r>
          </w:p>
        </w:tc>
        <w:tc>
          <w:tcPr/>
          <w:p>
            <w:pPr>
              <w:pStyle w:val="Compact"/>
            </w:pPr>
            <w:r>
              <w:t xml:space="preserve">Em paralelo à elaboração da petição inicial.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vi.-considerações-finais"/>
    <w:p>
      <w:pPr>
        <w:pStyle w:val="Heading3"/>
      </w:pPr>
      <w:r>
        <w:t xml:space="preserve">VI. Considerações Finais</w:t>
      </w:r>
    </w:p>
    <w:p>
      <w:pPr>
        <w:pStyle w:val="FirstParagraph"/>
      </w:pPr>
      <w:r>
        <w:t xml:space="preserve">Concluímos que a ação proposta pela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 </w:t>
      </w:r>
      <w:r>
        <w:t xml:space="preserve">está solidamente fundamentada tanto em direito material quanto processual. A caducidade do contrato, o direito ao despejo e a cobrança das quantias devidas encontram respaldo nas disposições legais citadas e na jurisprudência aplicável. Recomenda‑se a adoção das medidas acima descritas para garantir a efetiva satisfação do crédito, minimizando o risco de dilação processual e assegurando a proteção dos direitos patrimoniais do senhorio.</w:t>
      </w:r>
    </w:p>
    <w:p>
      <w:pPr>
        <w:pStyle w:val="BlockText"/>
      </w:pPr>
      <w:r>
        <w:rPr>
          <w:b/>
          <w:bCs/>
        </w:rPr>
        <w:t xml:space="preserve">Nota:</w:t>
      </w:r>
      <w:r>
        <w:t xml:space="preserve"> </w:t>
      </w:r>
      <w:r>
        <w:t xml:space="preserve">Este parecer foi elaborado com base nas informações fornecidas até a presente data e poderá ser revisto caso surjam novos factos ou documentos relevantes.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Ana Martins</w:t>
      </w:r>
      <w:r>
        <w:t xml:space="preserve"> </w:t>
      </w:r>
      <w:r>
        <w:t xml:space="preserve">– Ordem dos Advogados nº 12345</w:t>
      </w:r>
      <w:r>
        <w:br/>
      </w:r>
      <w:r>
        <w:rPr>
          <w:b/>
          <w:bCs/>
        </w:rPr>
        <w:t xml:space="preserve">Dr. Luís Pereira</w:t>
      </w:r>
      <w:r>
        <w:t xml:space="preserve"> </w:t>
      </w:r>
      <w:r>
        <w:t xml:space="preserve">– Ordem dos Advogados nº 67890</w:t>
      </w:r>
    </w:p>
    <w:p>
      <w:pPr>
        <w:pStyle w:val="BodyText"/>
      </w:pPr>
      <w:r>
        <w:rPr>
          <w:i/>
          <w:iCs/>
        </w:rPr>
        <w:t xml:space="preserve">Mandatários da Empresa de Arrendamento Comercial, Lda.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